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BCBC" w14:textId="77777777" w:rsidR="002D3B62" w:rsidRDefault="002D3B62">
      <w:pPr>
        <w:pStyle w:val="Textkrper"/>
        <w:spacing w:before="6"/>
        <w:ind w:firstLine="0"/>
        <w:rPr>
          <w:rFonts w:ascii="Times New Roman"/>
          <w:sz w:val="15"/>
        </w:rPr>
      </w:pPr>
    </w:p>
    <w:p w14:paraId="02F127F5" w14:textId="6A0AEEEC" w:rsidR="002D3B62" w:rsidRDefault="006E43BD" w:rsidP="001A080E">
      <w:pPr>
        <w:spacing w:before="101" w:line="268" w:lineRule="auto"/>
        <w:ind w:left="753" w:right="706" w:hanging="389"/>
        <w:jc w:val="center"/>
        <w:rPr>
          <w:rFonts w:ascii="Rajdhani Bold" w:hAnsi="Rajdhani Bold"/>
          <w:b/>
          <w:i/>
          <w:sz w:val="29"/>
        </w:rPr>
      </w:pPr>
      <w:r>
        <w:rPr>
          <w:rFonts w:ascii="Rajdhani Bold" w:hAnsi="Rajdhani Bold"/>
          <w:b/>
          <w:color w:val="0069B4"/>
          <w:sz w:val="28"/>
        </w:rPr>
        <w:t xml:space="preserve">ZUSATZBESTIMMUNGEN ZU DEN ALLGEMEINEN GESCHÄFTSBEDINGUNGEN FÜR SONDERVEREINBARUNGEN </w:t>
      </w:r>
      <w:r w:rsidR="00A17253" w:rsidRPr="00A17253">
        <w:rPr>
          <w:rFonts w:ascii="Rajdhani Bold" w:hAnsi="Rajdhani Bold"/>
          <w:b/>
          <w:i/>
          <w:color w:val="0069B4"/>
          <w:sz w:val="29"/>
        </w:rPr>
        <w:t>Modul 2</w:t>
      </w:r>
    </w:p>
    <w:p w14:paraId="78969A30" w14:textId="77777777" w:rsidR="002D3B62" w:rsidRDefault="006E43BD">
      <w:pPr>
        <w:pStyle w:val="berschrift1"/>
        <w:numPr>
          <w:ilvl w:val="0"/>
          <w:numId w:val="1"/>
        </w:numPr>
        <w:tabs>
          <w:tab w:val="left" w:pos="467"/>
          <w:tab w:val="left" w:pos="468"/>
        </w:tabs>
        <w:spacing w:before="208"/>
      </w:pPr>
      <w:bookmarkStart w:id="0" w:name="1._Art_und_Umfang_der_Lieferung"/>
      <w:bookmarkEnd w:id="0"/>
      <w:r>
        <w:t>Art und Umfang der</w:t>
      </w:r>
      <w:r>
        <w:rPr>
          <w:spacing w:val="-4"/>
        </w:rPr>
        <w:t xml:space="preserve"> </w:t>
      </w:r>
      <w:r>
        <w:t>Lieferung</w:t>
      </w:r>
    </w:p>
    <w:p w14:paraId="44A61D3A" w14:textId="77777777" w:rsidR="002D3B62" w:rsidRDefault="002D3B62">
      <w:pPr>
        <w:pStyle w:val="Textkrper"/>
        <w:ind w:firstLine="0"/>
        <w:rPr>
          <w:b/>
          <w:sz w:val="16"/>
        </w:rPr>
      </w:pPr>
    </w:p>
    <w:p w14:paraId="33BC1269" w14:textId="480D00D6" w:rsidR="002D3B62" w:rsidRDefault="006E43BD">
      <w:pPr>
        <w:pStyle w:val="Listenabsatz"/>
        <w:numPr>
          <w:ilvl w:val="1"/>
          <w:numId w:val="1"/>
        </w:numPr>
        <w:tabs>
          <w:tab w:val="left" w:pos="461"/>
        </w:tabs>
        <w:ind w:right="103"/>
        <w:rPr>
          <w:b/>
          <w:sz w:val="18"/>
        </w:rPr>
      </w:pPr>
      <w:bookmarkStart w:id="1" w:name="1.1._Mit_dem_Produkt_„Unser_Strausberger"/>
      <w:bookmarkEnd w:id="1"/>
      <w:r>
        <w:rPr>
          <w:sz w:val="18"/>
        </w:rPr>
        <w:t>Mit de</w:t>
      </w:r>
      <w:r w:rsidR="00B24181">
        <w:rPr>
          <w:sz w:val="18"/>
        </w:rPr>
        <w:t>n</w:t>
      </w:r>
      <w:r>
        <w:rPr>
          <w:sz w:val="18"/>
        </w:rPr>
        <w:t xml:space="preserve"> Produkt</w:t>
      </w:r>
      <w:r w:rsidR="00B24181">
        <w:rPr>
          <w:sz w:val="18"/>
        </w:rPr>
        <w:t>en</w:t>
      </w:r>
      <w:r>
        <w:rPr>
          <w:sz w:val="18"/>
        </w:rPr>
        <w:t xml:space="preserve"> </w:t>
      </w:r>
      <w:r>
        <w:rPr>
          <w:b/>
          <w:i/>
          <w:color w:val="006FC0"/>
          <w:sz w:val="18"/>
        </w:rPr>
        <w:t>„</w:t>
      </w:r>
      <w:r w:rsidR="00A17253" w:rsidRPr="00A17253">
        <w:rPr>
          <w:b/>
          <w:i/>
          <w:color w:val="006FC0"/>
          <w:sz w:val="18"/>
        </w:rPr>
        <w:t>Unser Strausberger Modul 2</w:t>
      </w:r>
      <w:r>
        <w:rPr>
          <w:b/>
          <w:i/>
          <w:color w:val="006FC0"/>
          <w:sz w:val="18"/>
        </w:rPr>
        <w:t>“</w:t>
      </w:r>
      <w:r w:rsidR="00B24181">
        <w:rPr>
          <w:b/>
          <w:i/>
          <w:color w:val="006FC0"/>
          <w:sz w:val="18"/>
        </w:rPr>
        <w:t>, „Unser Märkischer Landstrom Modul 2“ und „Unser Berlinstrom Modul 2“</w:t>
      </w:r>
      <w:r>
        <w:rPr>
          <w:b/>
          <w:i/>
          <w:color w:val="006FC0"/>
          <w:sz w:val="18"/>
        </w:rPr>
        <w:t xml:space="preserve"> </w:t>
      </w:r>
      <w:r>
        <w:rPr>
          <w:sz w:val="18"/>
        </w:rPr>
        <w:t>bietet die Stadtwerke Strausberg GmbH (SSG) Kunden im Netzgebiet der Stadtwerke Strausberg GmbH</w:t>
      </w:r>
      <w:r w:rsidR="00B24181">
        <w:rPr>
          <w:sz w:val="18"/>
        </w:rPr>
        <w:t xml:space="preserve">, </w:t>
      </w:r>
      <w:r w:rsidR="00B24181">
        <w:rPr>
          <w:sz w:val="18"/>
        </w:rPr>
        <w:t xml:space="preserve">E.DIS Netz GmbH </w:t>
      </w:r>
      <w:r w:rsidR="00B24181">
        <w:rPr>
          <w:sz w:val="18"/>
        </w:rPr>
        <w:t xml:space="preserve">und </w:t>
      </w:r>
      <w:r w:rsidR="001A080E">
        <w:rPr>
          <w:sz w:val="18"/>
        </w:rPr>
        <w:t xml:space="preserve">Stromnetz Berlin GmbH </w:t>
      </w:r>
      <w:r>
        <w:rPr>
          <w:sz w:val="18"/>
        </w:rPr>
        <w:t>die Lieferung von</w:t>
      </w:r>
      <w:r>
        <w:rPr>
          <w:spacing w:val="-3"/>
          <w:sz w:val="18"/>
        </w:rPr>
        <w:t xml:space="preserve"> </w:t>
      </w:r>
      <w:r>
        <w:rPr>
          <w:sz w:val="18"/>
        </w:rPr>
        <w:t>Strom</w:t>
      </w:r>
      <w:r>
        <w:rPr>
          <w:b/>
          <w:sz w:val="18"/>
        </w:rPr>
        <w:t>.</w:t>
      </w:r>
    </w:p>
    <w:p w14:paraId="74EA5F3A" w14:textId="666394A3" w:rsidR="004E3094" w:rsidRPr="004E3094" w:rsidRDefault="004E3094">
      <w:pPr>
        <w:pStyle w:val="Listenabsatz"/>
        <w:numPr>
          <w:ilvl w:val="1"/>
          <w:numId w:val="1"/>
        </w:numPr>
        <w:tabs>
          <w:tab w:val="left" w:pos="461"/>
        </w:tabs>
        <w:ind w:right="103"/>
        <w:rPr>
          <w:bCs/>
          <w:sz w:val="18"/>
        </w:rPr>
      </w:pPr>
      <w:r w:rsidRPr="004E3094">
        <w:rPr>
          <w:bCs/>
          <w:sz w:val="18"/>
        </w:rPr>
        <w:t>Die Preise gelten ausschließlich für steuerbare Verbrauchseinrichtungen nach § 14a EnWG (Wärmepumpen, Wallboxen) mit einer elektrischen Anschlussleistung von mehr als 4,2 kW. Diese müssen eine technische Möglichkeit zur Reduzierung des netzwirksamen Leistungsbezugs der Verbrauchseinrichtung durch den Netzbetreiber und einen separaten Zähler besitzen. Der Leistungsbezug der steuerbaren Verbrauchseinrichtung kann bis zu einer Mindestleistung von 4,2 kW reduziert werden. Die Voraussetzung für die Wirksamkeit dieses Vertrages ist eine gültige Vereinbarung mit dem Netzbetreiber über den Betrieb einer steuerbaren Verbrauchseinrichtung gemäß § 14a EnWG.</w:t>
      </w:r>
    </w:p>
    <w:p w14:paraId="511B25E7" w14:textId="77777777" w:rsidR="002D3B62" w:rsidRDefault="002D3B62">
      <w:pPr>
        <w:pStyle w:val="Textkrper"/>
        <w:spacing w:before="2"/>
        <w:ind w:firstLine="0"/>
        <w:rPr>
          <w:b/>
          <w:sz w:val="21"/>
        </w:rPr>
      </w:pPr>
    </w:p>
    <w:p w14:paraId="1989EE01" w14:textId="77777777" w:rsidR="002D3B62" w:rsidRDefault="006E43BD">
      <w:pPr>
        <w:pStyle w:val="berschrift1"/>
        <w:numPr>
          <w:ilvl w:val="0"/>
          <w:numId w:val="1"/>
        </w:numPr>
        <w:tabs>
          <w:tab w:val="left" w:pos="467"/>
          <w:tab w:val="left" w:pos="468"/>
        </w:tabs>
        <w:ind w:left="467" w:hanging="360"/>
      </w:pPr>
      <w:r>
        <w:t>Vertragsschluss</w:t>
      </w:r>
    </w:p>
    <w:p w14:paraId="5B7C6318" w14:textId="77777777" w:rsidR="002D3B62" w:rsidRDefault="002D3B62">
      <w:pPr>
        <w:pStyle w:val="Textkrper"/>
        <w:ind w:firstLine="0"/>
        <w:rPr>
          <w:b/>
          <w:sz w:val="16"/>
        </w:rPr>
      </w:pPr>
    </w:p>
    <w:p w14:paraId="4DF27B8A" w14:textId="77777777" w:rsidR="002D3B62" w:rsidRDefault="006E43BD">
      <w:pPr>
        <w:pStyle w:val="Listenabsatz"/>
        <w:numPr>
          <w:ilvl w:val="1"/>
          <w:numId w:val="1"/>
        </w:numPr>
        <w:tabs>
          <w:tab w:val="left" w:pos="468"/>
        </w:tabs>
        <w:spacing w:before="1" w:line="207" w:lineRule="exact"/>
        <w:ind w:left="468" w:hanging="360"/>
        <w:rPr>
          <w:sz w:val="18"/>
        </w:rPr>
      </w:pPr>
      <w:r>
        <w:rPr>
          <w:sz w:val="18"/>
        </w:rPr>
        <w:t>Der Vertrag gilt für Haushalts- und</w:t>
      </w:r>
      <w:r>
        <w:rPr>
          <w:spacing w:val="-5"/>
          <w:sz w:val="18"/>
        </w:rPr>
        <w:t xml:space="preserve"> </w:t>
      </w:r>
      <w:r>
        <w:rPr>
          <w:sz w:val="18"/>
        </w:rPr>
        <w:t>Gewerbekunden.</w:t>
      </w:r>
    </w:p>
    <w:p w14:paraId="6A7A4595" w14:textId="77777777" w:rsidR="002D3B62" w:rsidRDefault="006E43BD">
      <w:pPr>
        <w:pStyle w:val="Listenabsatz"/>
        <w:numPr>
          <w:ilvl w:val="1"/>
          <w:numId w:val="1"/>
        </w:numPr>
        <w:tabs>
          <w:tab w:val="left" w:pos="468"/>
        </w:tabs>
        <w:ind w:left="467" w:right="101" w:hanging="360"/>
        <w:rPr>
          <w:sz w:val="18"/>
        </w:rPr>
      </w:pPr>
      <w:r>
        <w:rPr>
          <w:sz w:val="18"/>
        </w:rPr>
        <w:t xml:space="preserve">Die Belieferung mit Strom zu diesen Bedingungen kann vom Kunden in unserem Kundencenter oder auf unserer Homepage, schriftlich oder per E-Mail unter </w:t>
      </w:r>
      <w:hyperlink r:id="rId7">
        <w:r>
          <w:rPr>
            <w:sz w:val="18"/>
          </w:rPr>
          <w:t>kundenkontakte@ssg-strausberg.de</w:t>
        </w:r>
      </w:hyperlink>
      <w:r>
        <w:rPr>
          <w:sz w:val="18"/>
        </w:rPr>
        <w:t xml:space="preserve"> beauftragt</w:t>
      </w:r>
      <w:r>
        <w:rPr>
          <w:spacing w:val="7"/>
          <w:sz w:val="18"/>
        </w:rPr>
        <w:t xml:space="preserve"> </w:t>
      </w:r>
      <w:r>
        <w:rPr>
          <w:sz w:val="18"/>
        </w:rPr>
        <w:t>werden.</w:t>
      </w:r>
    </w:p>
    <w:p w14:paraId="6FCC46E8" w14:textId="77777777" w:rsidR="002D3B62" w:rsidRDefault="006E43BD">
      <w:pPr>
        <w:pStyle w:val="Listenabsatz"/>
        <w:numPr>
          <w:ilvl w:val="1"/>
          <w:numId w:val="1"/>
        </w:numPr>
        <w:tabs>
          <w:tab w:val="left" w:pos="468"/>
        </w:tabs>
        <w:spacing w:before="1"/>
        <w:ind w:left="467" w:right="99" w:hanging="360"/>
        <w:rPr>
          <w:sz w:val="18"/>
        </w:rPr>
      </w:pPr>
      <w:r>
        <w:rPr>
          <w:sz w:val="18"/>
        </w:rPr>
        <w:t>Bei Umzug des Kunden innerhalb des Netzgebietes der Stadtwerke Strausberg GmbH kann der Tarif auf die neue</w:t>
      </w:r>
      <w:r>
        <w:rPr>
          <w:spacing w:val="-10"/>
          <w:sz w:val="18"/>
        </w:rPr>
        <w:t xml:space="preserve"> </w:t>
      </w:r>
      <w:r>
        <w:rPr>
          <w:sz w:val="18"/>
        </w:rPr>
        <w:t>Verbrauchsstelle</w:t>
      </w:r>
      <w:r>
        <w:rPr>
          <w:spacing w:val="-10"/>
          <w:sz w:val="18"/>
        </w:rPr>
        <w:t xml:space="preserve"> </w:t>
      </w:r>
      <w:r>
        <w:rPr>
          <w:sz w:val="18"/>
        </w:rPr>
        <w:t>übernommen</w:t>
      </w:r>
      <w:r>
        <w:rPr>
          <w:spacing w:val="-7"/>
          <w:sz w:val="18"/>
        </w:rPr>
        <w:t xml:space="preserve"> </w:t>
      </w:r>
      <w:r>
        <w:rPr>
          <w:sz w:val="18"/>
        </w:rPr>
        <w:t>werden.</w:t>
      </w:r>
      <w:r>
        <w:rPr>
          <w:spacing w:val="-9"/>
          <w:sz w:val="18"/>
        </w:rPr>
        <w:t xml:space="preserve"> </w:t>
      </w:r>
      <w:r>
        <w:rPr>
          <w:sz w:val="18"/>
        </w:rPr>
        <w:t>Dazu</w:t>
      </w:r>
      <w:r>
        <w:rPr>
          <w:spacing w:val="-7"/>
          <w:sz w:val="18"/>
        </w:rPr>
        <w:t xml:space="preserve"> </w:t>
      </w:r>
      <w:r>
        <w:rPr>
          <w:sz w:val="18"/>
        </w:rPr>
        <w:t>ist</w:t>
      </w:r>
      <w:r>
        <w:rPr>
          <w:spacing w:val="-10"/>
          <w:sz w:val="18"/>
        </w:rPr>
        <w:t xml:space="preserve"> </w:t>
      </w:r>
      <w:r>
        <w:rPr>
          <w:sz w:val="18"/>
        </w:rPr>
        <w:t>die</w:t>
      </w:r>
      <w:r>
        <w:rPr>
          <w:spacing w:val="-7"/>
          <w:sz w:val="18"/>
        </w:rPr>
        <w:t xml:space="preserve"> </w:t>
      </w:r>
      <w:r>
        <w:rPr>
          <w:sz w:val="18"/>
        </w:rPr>
        <w:t>SSG</w:t>
      </w:r>
      <w:r>
        <w:rPr>
          <w:spacing w:val="-8"/>
          <w:sz w:val="18"/>
        </w:rPr>
        <w:t xml:space="preserve"> </w:t>
      </w:r>
      <w:r>
        <w:rPr>
          <w:sz w:val="18"/>
        </w:rPr>
        <w:t>vom</w:t>
      </w:r>
      <w:r>
        <w:rPr>
          <w:spacing w:val="-9"/>
          <w:sz w:val="18"/>
        </w:rPr>
        <w:t xml:space="preserve"> </w:t>
      </w:r>
      <w:r>
        <w:rPr>
          <w:sz w:val="18"/>
        </w:rPr>
        <w:t>Kunden</w:t>
      </w:r>
      <w:r>
        <w:rPr>
          <w:spacing w:val="-10"/>
          <w:sz w:val="18"/>
        </w:rPr>
        <w:t xml:space="preserve"> </w:t>
      </w:r>
      <w:r>
        <w:rPr>
          <w:sz w:val="18"/>
        </w:rPr>
        <w:t>entsprechend</w:t>
      </w:r>
      <w:r>
        <w:rPr>
          <w:spacing w:val="-11"/>
          <w:sz w:val="18"/>
        </w:rPr>
        <w:t xml:space="preserve"> </w:t>
      </w:r>
      <w:r>
        <w:rPr>
          <w:sz w:val="18"/>
        </w:rPr>
        <w:t>zu</w:t>
      </w:r>
      <w:r>
        <w:rPr>
          <w:spacing w:val="-10"/>
          <w:sz w:val="18"/>
        </w:rPr>
        <w:t xml:space="preserve"> </w:t>
      </w:r>
      <w:r>
        <w:rPr>
          <w:sz w:val="18"/>
        </w:rPr>
        <w:t>informieren.</w:t>
      </w:r>
      <w:r>
        <w:rPr>
          <w:spacing w:val="-10"/>
          <w:sz w:val="18"/>
        </w:rPr>
        <w:t xml:space="preserve"> </w:t>
      </w:r>
      <w:r>
        <w:rPr>
          <w:sz w:val="18"/>
        </w:rPr>
        <w:t>Bei Umzug des Kunden in das Netzgebiet eines anderen Netzbetreibers erhält der Kunde von der SSG ein adäquates Stromlieferangebot.</w:t>
      </w:r>
    </w:p>
    <w:p w14:paraId="0AC93410" w14:textId="77777777" w:rsidR="002D3B62" w:rsidRDefault="002D3B62">
      <w:pPr>
        <w:pStyle w:val="Textkrper"/>
        <w:ind w:firstLine="0"/>
        <w:rPr>
          <w:sz w:val="16"/>
        </w:rPr>
      </w:pPr>
    </w:p>
    <w:p w14:paraId="63DEEE00" w14:textId="77777777" w:rsidR="002D3B62" w:rsidRDefault="006E43BD">
      <w:pPr>
        <w:pStyle w:val="berschrift1"/>
        <w:numPr>
          <w:ilvl w:val="0"/>
          <w:numId w:val="1"/>
        </w:numPr>
        <w:tabs>
          <w:tab w:val="left" w:pos="467"/>
          <w:tab w:val="left" w:pos="468"/>
        </w:tabs>
        <w:ind w:hanging="360"/>
      </w:pPr>
      <w:r>
        <w:t>Vertragslaufzeit und</w:t>
      </w:r>
      <w:r>
        <w:rPr>
          <w:spacing w:val="-3"/>
        </w:rPr>
        <w:t xml:space="preserve"> </w:t>
      </w:r>
      <w:r>
        <w:t>Kündigung</w:t>
      </w:r>
    </w:p>
    <w:p w14:paraId="7A5D6BEF" w14:textId="77777777" w:rsidR="002D3B62" w:rsidRDefault="002D3B62">
      <w:pPr>
        <w:pStyle w:val="Textkrper"/>
        <w:spacing w:before="10"/>
        <w:ind w:firstLine="0"/>
        <w:rPr>
          <w:b/>
          <w:sz w:val="15"/>
        </w:rPr>
      </w:pPr>
    </w:p>
    <w:p w14:paraId="6D02AC47" w14:textId="77777777" w:rsidR="002D3B62" w:rsidRDefault="006E43BD">
      <w:pPr>
        <w:pStyle w:val="Listenabsatz"/>
        <w:numPr>
          <w:ilvl w:val="1"/>
          <w:numId w:val="1"/>
        </w:numPr>
        <w:tabs>
          <w:tab w:val="left" w:pos="468"/>
        </w:tabs>
        <w:ind w:left="467" w:right="101" w:hanging="360"/>
        <w:rPr>
          <w:sz w:val="18"/>
        </w:rPr>
      </w:pPr>
      <w:r>
        <w:rPr>
          <w:sz w:val="18"/>
        </w:rPr>
        <w:t>Die Erstvertragslaufzeit beginnt mit der Aufnahme der Energielieferung zu den in der Vertragsbestätigung genannten Lieferbedingungen und beträgt 12 Monate. Der Vertrag verlängert sich im Anschluss auf unbestimmte Zeit mit monatlicher</w:t>
      </w:r>
      <w:r>
        <w:rPr>
          <w:spacing w:val="-2"/>
          <w:sz w:val="18"/>
        </w:rPr>
        <w:t xml:space="preserve"> </w:t>
      </w:r>
      <w:r>
        <w:rPr>
          <w:sz w:val="18"/>
        </w:rPr>
        <w:t>Kündigungsfrist.</w:t>
      </w:r>
    </w:p>
    <w:p w14:paraId="1A9814C2" w14:textId="77777777" w:rsidR="002D3B62" w:rsidRDefault="006E43BD">
      <w:pPr>
        <w:pStyle w:val="Listenabsatz"/>
        <w:numPr>
          <w:ilvl w:val="1"/>
          <w:numId w:val="1"/>
        </w:numPr>
        <w:tabs>
          <w:tab w:val="left" w:pos="468"/>
        </w:tabs>
        <w:spacing w:before="1"/>
        <w:ind w:left="467" w:right="104" w:hanging="360"/>
        <w:rPr>
          <w:sz w:val="18"/>
        </w:rPr>
      </w:pPr>
      <w:r>
        <w:rPr>
          <w:sz w:val="18"/>
        </w:rPr>
        <w:t>Die Kündigung muss in Textform erfolgen. Briefe sind zu richten an Stadtwerke Strausberg GmbH, Kastanienallee 38, 15344 Strausberg oder per E-Mail an</w:t>
      </w:r>
      <w:r>
        <w:rPr>
          <w:spacing w:val="-12"/>
          <w:sz w:val="18"/>
        </w:rPr>
        <w:t xml:space="preserve"> </w:t>
      </w:r>
      <w:hyperlink r:id="rId8">
        <w:r>
          <w:rPr>
            <w:sz w:val="18"/>
          </w:rPr>
          <w:t>kundenkontakte@ssg-strausberg.de.</w:t>
        </w:r>
      </w:hyperlink>
    </w:p>
    <w:p w14:paraId="57611EC8" w14:textId="77777777" w:rsidR="002D3B62" w:rsidRDefault="006E43BD">
      <w:pPr>
        <w:pStyle w:val="Listenabsatz"/>
        <w:numPr>
          <w:ilvl w:val="1"/>
          <w:numId w:val="1"/>
        </w:numPr>
        <w:tabs>
          <w:tab w:val="left" w:pos="468"/>
        </w:tabs>
        <w:spacing w:before="1"/>
        <w:ind w:left="467" w:hanging="361"/>
        <w:rPr>
          <w:sz w:val="18"/>
        </w:rPr>
      </w:pPr>
      <w:r>
        <w:rPr>
          <w:sz w:val="18"/>
        </w:rPr>
        <w:t>Das Kündigungsrecht nach Punkt 3.3 der Allgemeinen Geschäftsbedingungen bleibt</w:t>
      </w:r>
      <w:r>
        <w:rPr>
          <w:spacing w:val="-11"/>
          <w:sz w:val="18"/>
        </w:rPr>
        <w:t xml:space="preserve"> </w:t>
      </w:r>
      <w:r>
        <w:rPr>
          <w:sz w:val="18"/>
        </w:rPr>
        <w:t>unberührt.</w:t>
      </w:r>
    </w:p>
    <w:p w14:paraId="43E6C35C" w14:textId="77777777" w:rsidR="002D3B62" w:rsidRDefault="002D3B62">
      <w:pPr>
        <w:pStyle w:val="Textkrper"/>
        <w:ind w:firstLine="0"/>
        <w:rPr>
          <w:sz w:val="16"/>
        </w:rPr>
      </w:pPr>
    </w:p>
    <w:p w14:paraId="06E17F0F" w14:textId="77777777" w:rsidR="002D3B62" w:rsidRDefault="006E43BD">
      <w:pPr>
        <w:pStyle w:val="berschrift1"/>
        <w:numPr>
          <w:ilvl w:val="0"/>
          <w:numId w:val="1"/>
        </w:numPr>
        <w:tabs>
          <w:tab w:val="left" w:pos="468"/>
        </w:tabs>
        <w:ind w:hanging="360"/>
        <w:jc w:val="both"/>
      </w:pPr>
      <w:r>
        <w:t>Maximale</w:t>
      </w:r>
      <w:r>
        <w:rPr>
          <w:spacing w:val="-3"/>
        </w:rPr>
        <w:t xml:space="preserve"> </w:t>
      </w:r>
      <w:r>
        <w:t>Liefermengen</w:t>
      </w:r>
    </w:p>
    <w:p w14:paraId="13D425BD" w14:textId="6EA9F45E" w:rsidR="002D3B62" w:rsidRDefault="006E43BD">
      <w:pPr>
        <w:pStyle w:val="Listenabsatz"/>
        <w:numPr>
          <w:ilvl w:val="1"/>
          <w:numId w:val="1"/>
        </w:numPr>
        <w:tabs>
          <w:tab w:val="left" w:pos="468"/>
        </w:tabs>
        <w:spacing w:before="160" w:line="207" w:lineRule="exact"/>
        <w:ind w:left="468" w:hanging="360"/>
        <w:rPr>
          <w:sz w:val="18"/>
        </w:rPr>
      </w:pPr>
      <w:r>
        <w:rPr>
          <w:sz w:val="18"/>
        </w:rPr>
        <w:t>Die maximale jährliche Liefermenge (Maximenge) für dieses Produkt beträgt je Abnahmestelle 10</w:t>
      </w:r>
      <w:r w:rsidR="004E3094">
        <w:rPr>
          <w:sz w:val="18"/>
        </w:rPr>
        <w:t>0</w:t>
      </w:r>
      <w:r>
        <w:rPr>
          <w:sz w:val="18"/>
        </w:rPr>
        <w:t>.000</w:t>
      </w:r>
      <w:r>
        <w:rPr>
          <w:spacing w:val="-27"/>
          <w:sz w:val="18"/>
        </w:rPr>
        <w:t xml:space="preserve"> </w:t>
      </w:r>
      <w:r>
        <w:rPr>
          <w:sz w:val="18"/>
        </w:rPr>
        <w:t>kWh.</w:t>
      </w:r>
    </w:p>
    <w:p w14:paraId="4CB87B7B" w14:textId="6417013D" w:rsidR="002D3B62" w:rsidRDefault="006E43BD">
      <w:pPr>
        <w:pStyle w:val="Listenabsatz"/>
        <w:numPr>
          <w:ilvl w:val="1"/>
          <w:numId w:val="1"/>
        </w:numPr>
        <w:tabs>
          <w:tab w:val="left" w:pos="468"/>
        </w:tabs>
        <w:ind w:left="468" w:right="104" w:hanging="360"/>
        <w:rPr>
          <w:sz w:val="18"/>
        </w:rPr>
      </w:pPr>
      <w:r>
        <w:rPr>
          <w:sz w:val="18"/>
        </w:rPr>
        <w:t>Die Lieferung von elektrischer Energie an Abnahmestellen mit Leistungsmessung</w:t>
      </w:r>
      <w:r w:rsidR="004E3094">
        <w:rPr>
          <w:sz w:val="18"/>
        </w:rPr>
        <w:t xml:space="preserve"> (RLM)</w:t>
      </w:r>
      <w:r>
        <w:rPr>
          <w:sz w:val="18"/>
        </w:rPr>
        <w:t xml:space="preserve"> ist ausgeschlossen. Eine Schwachlastreglung wird nicht</w:t>
      </w:r>
      <w:r>
        <w:rPr>
          <w:spacing w:val="-4"/>
          <w:sz w:val="18"/>
        </w:rPr>
        <w:t xml:space="preserve"> </w:t>
      </w:r>
      <w:r>
        <w:rPr>
          <w:sz w:val="18"/>
        </w:rPr>
        <w:t>angeboten.</w:t>
      </w:r>
    </w:p>
    <w:p w14:paraId="5C6603E2" w14:textId="0910ADD7" w:rsidR="002D3B62" w:rsidRDefault="006E43BD">
      <w:pPr>
        <w:pStyle w:val="Listenabsatz"/>
        <w:numPr>
          <w:ilvl w:val="1"/>
          <w:numId w:val="1"/>
        </w:numPr>
        <w:tabs>
          <w:tab w:val="left" w:pos="468"/>
        </w:tabs>
        <w:spacing w:before="1"/>
        <w:ind w:left="468" w:right="100" w:hanging="360"/>
        <w:rPr>
          <w:sz w:val="18"/>
        </w:rPr>
      </w:pPr>
      <w:r>
        <w:rPr>
          <w:sz w:val="18"/>
        </w:rPr>
        <w:t>Übersteigt die tatsächliche Liefermenge die jeweilige Maximalmenge (über 10</w:t>
      </w:r>
      <w:r w:rsidR="004E3094">
        <w:rPr>
          <w:sz w:val="18"/>
        </w:rPr>
        <w:t>0</w:t>
      </w:r>
      <w:r>
        <w:rPr>
          <w:sz w:val="18"/>
        </w:rPr>
        <w:t>.000 kWh) oder erfolgt der nachträgliche Einbau einer Leistungsmessung, behält sich die SSG vor, den Energieliefervertrag mit einer zweiwöchigen Frist auf das Ende eines Kalendermonats zu kündigen bzw. mit gesonderten Preisen zu berechnen.</w:t>
      </w:r>
    </w:p>
    <w:p w14:paraId="50AFEC03" w14:textId="77777777" w:rsidR="002D3B62" w:rsidRDefault="006E43BD">
      <w:pPr>
        <w:pStyle w:val="berschrift1"/>
        <w:numPr>
          <w:ilvl w:val="0"/>
          <w:numId w:val="1"/>
        </w:numPr>
        <w:tabs>
          <w:tab w:val="left" w:pos="468"/>
        </w:tabs>
        <w:spacing w:before="161"/>
        <w:ind w:left="467" w:hanging="360"/>
        <w:jc w:val="both"/>
      </w:pPr>
      <w:r>
        <w:t>Preisänderung</w:t>
      </w:r>
    </w:p>
    <w:p w14:paraId="07FE130C" w14:textId="77777777" w:rsidR="002D3B62" w:rsidRDefault="006E43BD">
      <w:pPr>
        <w:pStyle w:val="Listenabsatz"/>
        <w:numPr>
          <w:ilvl w:val="1"/>
          <w:numId w:val="1"/>
        </w:numPr>
        <w:tabs>
          <w:tab w:val="left" w:pos="468"/>
        </w:tabs>
        <w:spacing w:before="160"/>
        <w:ind w:left="467" w:right="101" w:hanging="360"/>
        <w:rPr>
          <w:sz w:val="18"/>
        </w:rPr>
      </w:pPr>
      <w:r>
        <w:rPr>
          <w:sz w:val="18"/>
        </w:rPr>
        <w:t>Für</w:t>
      </w:r>
      <w:r>
        <w:rPr>
          <w:spacing w:val="-11"/>
          <w:sz w:val="18"/>
        </w:rPr>
        <w:t xml:space="preserve"> </w:t>
      </w:r>
      <w:r>
        <w:rPr>
          <w:sz w:val="18"/>
        </w:rPr>
        <w:t>die</w:t>
      </w:r>
      <w:r>
        <w:rPr>
          <w:spacing w:val="-10"/>
          <w:sz w:val="18"/>
        </w:rPr>
        <w:t xml:space="preserve"> </w:t>
      </w:r>
      <w:r>
        <w:rPr>
          <w:sz w:val="18"/>
        </w:rPr>
        <w:t>Erstvertragslaufzeit</w:t>
      </w:r>
      <w:r>
        <w:rPr>
          <w:spacing w:val="-11"/>
          <w:sz w:val="18"/>
        </w:rPr>
        <w:t xml:space="preserve"> </w:t>
      </w:r>
      <w:r>
        <w:rPr>
          <w:sz w:val="18"/>
        </w:rPr>
        <w:t>garantiert</w:t>
      </w:r>
      <w:r>
        <w:rPr>
          <w:spacing w:val="-10"/>
          <w:sz w:val="18"/>
        </w:rPr>
        <w:t xml:space="preserve"> </w:t>
      </w:r>
      <w:r>
        <w:rPr>
          <w:sz w:val="18"/>
        </w:rPr>
        <w:t>der</w:t>
      </w:r>
      <w:r>
        <w:rPr>
          <w:spacing w:val="-13"/>
          <w:sz w:val="18"/>
        </w:rPr>
        <w:t xml:space="preserve"> </w:t>
      </w:r>
      <w:r>
        <w:rPr>
          <w:sz w:val="18"/>
        </w:rPr>
        <w:t>Lieferant</w:t>
      </w:r>
      <w:r>
        <w:rPr>
          <w:spacing w:val="-12"/>
          <w:sz w:val="18"/>
        </w:rPr>
        <w:t xml:space="preserve"> </w:t>
      </w:r>
      <w:r>
        <w:rPr>
          <w:sz w:val="18"/>
        </w:rPr>
        <w:t>die</w:t>
      </w:r>
      <w:r>
        <w:rPr>
          <w:spacing w:val="-12"/>
          <w:sz w:val="18"/>
        </w:rPr>
        <w:t xml:space="preserve"> </w:t>
      </w:r>
      <w:r>
        <w:rPr>
          <w:sz w:val="18"/>
        </w:rPr>
        <w:t>vereinbarten</w:t>
      </w:r>
      <w:r>
        <w:rPr>
          <w:spacing w:val="-12"/>
          <w:sz w:val="18"/>
        </w:rPr>
        <w:t xml:space="preserve"> </w:t>
      </w:r>
      <w:r>
        <w:rPr>
          <w:sz w:val="18"/>
        </w:rPr>
        <w:t>Preise</w:t>
      </w:r>
      <w:r>
        <w:rPr>
          <w:spacing w:val="-12"/>
          <w:sz w:val="18"/>
        </w:rPr>
        <w:t xml:space="preserve"> </w:t>
      </w:r>
      <w:r>
        <w:rPr>
          <w:sz w:val="18"/>
        </w:rPr>
        <w:t>mit</w:t>
      </w:r>
      <w:r>
        <w:rPr>
          <w:spacing w:val="-12"/>
          <w:sz w:val="18"/>
        </w:rPr>
        <w:t xml:space="preserve"> </w:t>
      </w:r>
      <w:r>
        <w:rPr>
          <w:sz w:val="18"/>
        </w:rPr>
        <w:t>Ausnahme</w:t>
      </w:r>
      <w:r>
        <w:rPr>
          <w:spacing w:val="-11"/>
          <w:sz w:val="18"/>
        </w:rPr>
        <w:t xml:space="preserve"> </w:t>
      </w:r>
      <w:r>
        <w:rPr>
          <w:sz w:val="18"/>
        </w:rPr>
        <w:t>der</w:t>
      </w:r>
      <w:r>
        <w:rPr>
          <w:spacing w:val="-10"/>
          <w:sz w:val="18"/>
        </w:rPr>
        <w:t xml:space="preserve"> </w:t>
      </w:r>
      <w:r>
        <w:rPr>
          <w:sz w:val="18"/>
        </w:rPr>
        <w:t>Mehrwertsteuer, der Netzentgelte,der Stromsteuer und etwaigen nach Vertragsabschluss geänderten oder neu eingeführten Steuern, Abgaben und</w:t>
      </w:r>
      <w:r>
        <w:rPr>
          <w:spacing w:val="-4"/>
          <w:sz w:val="18"/>
        </w:rPr>
        <w:t xml:space="preserve"> </w:t>
      </w:r>
      <w:r>
        <w:rPr>
          <w:sz w:val="18"/>
        </w:rPr>
        <w:t>Umlagen.</w:t>
      </w:r>
    </w:p>
    <w:p w14:paraId="392D72AD" w14:textId="77777777" w:rsidR="002D3B62" w:rsidRDefault="006E43BD">
      <w:pPr>
        <w:pStyle w:val="Listenabsatz"/>
        <w:numPr>
          <w:ilvl w:val="1"/>
          <w:numId w:val="1"/>
        </w:numPr>
        <w:tabs>
          <w:tab w:val="left" w:pos="468"/>
        </w:tabs>
        <w:spacing w:before="1"/>
        <w:ind w:left="467" w:right="100" w:hanging="360"/>
        <w:rPr>
          <w:sz w:val="18"/>
        </w:rPr>
      </w:pPr>
      <w:r>
        <w:rPr>
          <w:sz w:val="18"/>
        </w:rPr>
        <w:t>Preisänderungen erfolgen nach der Erstvertragslaufzeit nach billigem Ermessen gemäß § 315 BGB. Anlass für Preisänderungen sind Kostenerhöhungen und -senkungen bei der KWKG-Umlage, der Umlage nach § 18 AbLaV, der Umlage nach § 17 f EnWG, der Umlage nach § 19 Absatz 2 Strom NEV, den Netznutzungsentgelten und der Konzessionsabgabe. Ein weiterer Anlass sind Änderungen der Kosten für Energiebeschaffung und Vertrieb einschließlich</w:t>
      </w:r>
      <w:r>
        <w:rPr>
          <w:spacing w:val="2"/>
          <w:sz w:val="18"/>
        </w:rPr>
        <w:t xml:space="preserve"> </w:t>
      </w:r>
      <w:r>
        <w:rPr>
          <w:sz w:val="18"/>
        </w:rPr>
        <w:t>Service.</w:t>
      </w:r>
    </w:p>
    <w:p w14:paraId="1F951CFC" w14:textId="77777777" w:rsidR="002D3B62" w:rsidRDefault="006E43BD">
      <w:pPr>
        <w:pStyle w:val="Listenabsatz"/>
        <w:numPr>
          <w:ilvl w:val="1"/>
          <w:numId w:val="1"/>
        </w:numPr>
        <w:tabs>
          <w:tab w:val="left" w:pos="469"/>
        </w:tabs>
        <w:ind w:left="468" w:right="101" w:hanging="360"/>
        <w:rPr>
          <w:sz w:val="18"/>
        </w:rPr>
      </w:pPr>
      <w:r>
        <w:rPr>
          <w:sz w:val="18"/>
        </w:rPr>
        <w:t>Die Preise werden erst nach einer schriftlichen Mitteilung wirksam. Die SSG teilt die Änderungen mindestens 4 Wochen vor Wirksamwerden in Briefform mit. Eine öffentliche Bekanntgabe erfolgt</w:t>
      </w:r>
      <w:r>
        <w:rPr>
          <w:spacing w:val="-14"/>
          <w:sz w:val="18"/>
        </w:rPr>
        <w:t xml:space="preserve"> </w:t>
      </w:r>
      <w:r>
        <w:rPr>
          <w:sz w:val="18"/>
        </w:rPr>
        <w:t>nicht.</w:t>
      </w:r>
    </w:p>
    <w:p w14:paraId="3685A39F" w14:textId="77777777" w:rsidR="002D3B62" w:rsidRDefault="006E43BD">
      <w:pPr>
        <w:pStyle w:val="berschrift1"/>
        <w:numPr>
          <w:ilvl w:val="0"/>
          <w:numId w:val="1"/>
        </w:numPr>
        <w:tabs>
          <w:tab w:val="left" w:pos="468"/>
        </w:tabs>
        <w:spacing w:before="161"/>
        <w:ind w:left="467" w:hanging="360"/>
        <w:jc w:val="both"/>
      </w:pPr>
      <w:r>
        <w:t>Messstellenbetrieb</w:t>
      </w:r>
    </w:p>
    <w:p w14:paraId="3FE2EDD1" w14:textId="77777777" w:rsidR="002D3B62" w:rsidRDefault="006E43BD">
      <w:pPr>
        <w:pStyle w:val="Listenabsatz"/>
        <w:numPr>
          <w:ilvl w:val="1"/>
          <w:numId w:val="1"/>
        </w:numPr>
        <w:tabs>
          <w:tab w:val="left" w:pos="468"/>
        </w:tabs>
        <w:spacing w:before="160"/>
        <w:ind w:left="468" w:right="100" w:hanging="360"/>
        <w:rPr>
          <w:sz w:val="18"/>
        </w:rPr>
      </w:pPr>
      <w:r>
        <w:rPr>
          <w:sz w:val="18"/>
        </w:rPr>
        <w:t>Wenn ein Dritter mit dem Messstellenbetrieb beauftragt wird, erstattet die SSG die dafür in den Preisen enthaltenen Kosten.</w:t>
      </w:r>
    </w:p>
    <w:p w14:paraId="5F28EB3C" w14:textId="77777777" w:rsidR="00F43697" w:rsidRDefault="00F43697" w:rsidP="00F43697">
      <w:pPr>
        <w:tabs>
          <w:tab w:val="left" w:pos="468"/>
        </w:tabs>
        <w:spacing w:before="160"/>
        <w:ind w:right="100"/>
        <w:rPr>
          <w:sz w:val="18"/>
        </w:rPr>
      </w:pPr>
    </w:p>
    <w:p w14:paraId="205BE48F" w14:textId="77777777" w:rsidR="00F43697" w:rsidRDefault="00F43697" w:rsidP="00F43697">
      <w:pPr>
        <w:tabs>
          <w:tab w:val="left" w:pos="468"/>
        </w:tabs>
        <w:spacing w:before="160"/>
        <w:ind w:right="100"/>
        <w:rPr>
          <w:sz w:val="18"/>
        </w:rPr>
      </w:pPr>
    </w:p>
    <w:p w14:paraId="65614B8F" w14:textId="77777777" w:rsidR="00F43697" w:rsidRPr="00F43697" w:rsidRDefault="00F43697" w:rsidP="00F43697">
      <w:pPr>
        <w:tabs>
          <w:tab w:val="left" w:pos="468"/>
        </w:tabs>
        <w:spacing w:before="160"/>
        <w:ind w:right="100"/>
        <w:rPr>
          <w:sz w:val="18"/>
        </w:rPr>
      </w:pPr>
    </w:p>
    <w:p w14:paraId="7FCA49B5" w14:textId="77777777" w:rsidR="002D3B62" w:rsidRDefault="006E43BD">
      <w:pPr>
        <w:pStyle w:val="berschrift1"/>
        <w:numPr>
          <w:ilvl w:val="0"/>
          <w:numId w:val="1"/>
        </w:numPr>
        <w:tabs>
          <w:tab w:val="left" w:pos="468"/>
        </w:tabs>
        <w:spacing w:before="160"/>
        <w:ind w:hanging="360"/>
        <w:jc w:val="both"/>
      </w:pPr>
      <w:r>
        <w:t>Abrechnung, unterjährige</w:t>
      </w:r>
      <w:r>
        <w:rPr>
          <w:spacing w:val="-2"/>
        </w:rPr>
        <w:t xml:space="preserve"> </w:t>
      </w:r>
      <w:r>
        <w:t>Abrechnung</w:t>
      </w:r>
    </w:p>
    <w:p w14:paraId="0E7A9C58" w14:textId="77777777" w:rsidR="002D3B62" w:rsidRDefault="006E43BD">
      <w:pPr>
        <w:pStyle w:val="Listenabsatz"/>
        <w:numPr>
          <w:ilvl w:val="1"/>
          <w:numId w:val="1"/>
        </w:numPr>
        <w:tabs>
          <w:tab w:val="left" w:pos="468"/>
        </w:tabs>
        <w:spacing w:before="163"/>
        <w:ind w:left="468" w:right="101" w:hanging="360"/>
        <w:rPr>
          <w:sz w:val="18"/>
        </w:rPr>
      </w:pPr>
      <w:r>
        <w:rPr>
          <w:sz w:val="18"/>
        </w:rPr>
        <w:t>Der Elektrizitätsverbrauch des Kunden wird grundsätzlich einmal jährlich festgestellt und abgerechnet. Die Abrechnung erfolgt auf der Grundlage abgelesener Zählerstände bzw. von Verbrauchsschätzungen (bei nicht vorhandenen Ablesewerten bzw. Zählerausfall) per 31.12. jeden</w:t>
      </w:r>
      <w:r>
        <w:rPr>
          <w:spacing w:val="-5"/>
          <w:sz w:val="18"/>
        </w:rPr>
        <w:t xml:space="preserve"> </w:t>
      </w:r>
      <w:r>
        <w:rPr>
          <w:sz w:val="18"/>
        </w:rPr>
        <w:t>Jahres.</w:t>
      </w:r>
    </w:p>
    <w:p w14:paraId="10CC8B8D" w14:textId="77777777" w:rsidR="002D3B62" w:rsidRDefault="006E43BD">
      <w:pPr>
        <w:pStyle w:val="Listenabsatz"/>
        <w:numPr>
          <w:ilvl w:val="1"/>
          <w:numId w:val="1"/>
        </w:numPr>
        <w:tabs>
          <w:tab w:val="left" w:pos="468"/>
        </w:tabs>
        <w:spacing w:line="205" w:lineRule="exact"/>
        <w:ind w:left="468" w:hanging="360"/>
        <w:rPr>
          <w:sz w:val="18"/>
        </w:rPr>
      </w:pPr>
      <w:r>
        <w:rPr>
          <w:sz w:val="18"/>
        </w:rPr>
        <w:t>Unterjährige Abrechnungen sind kostenpflichtig (siehe Allgemeine</w:t>
      </w:r>
      <w:r>
        <w:rPr>
          <w:spacing w:val="-7"/>
          <w:sz w:val="18"/>
        </w:rPr>
        <w:t xml:space="preserve"> </w:t>
      </w:r>
      <w:r>
        <w:rPr>
          <w:sz w:val="18"/>
        </w:rPr>
        <w:t>Geschäftsbedingungen).</w:t>
      </w:r>
    </w:p>
    <w:p w14:paraId="23A08995" w14:textId="6E1E2503" w:rsidR="002D3B62" w:rsidRPr="00F43697" w:rsidRDefault="006E43BD" w:rsidP="00F43697">
      <w:pPr>
        <w:pStyle w:val="Listenabsatz"/>
        <w:numPr>
          <w:ilvl w:val="1"/>
          <w:numId w:val="1"/>
        </w:numPr>
        <w:tabs>
          <w:tab w:val="left" w:pos="468"/>
        </w:tabs>
        <w:spacing w:before="2"/>
        <w:ind w:left="468" w:right="104" w:hanging="360"/>
        <w:rPr>
          <w:sz w:val="18"/>
        </w:rPr>
      </w:pPr>
      <w:r>
        <w:rPr>
          <w:sz w:val="18"/>
        </w:rPr>
        <w:t>Der Kunde erhält eine Rechnung in Papierform, wenn keine Registrierung im Kundenportal der SSG vorliegt. Bei</w:t>
      </w:r>
      <w:r>
        <w:rPr>
          <w:spacing w:val="9"/>
          <w:sz w:val="18"/>
        </w:rPr>
        <w:t xml:space="preserve"> </w:t>
      </w:r>
      <w:r>
        <w:rPr>
          <w:sz w:val="18"/>
        </w:rPr>
        <w:t>einer</w:t>
      </w:r>
      <w:r>
        <w:rPr>
          <w:spacing w:val="9"/>
          <w:sz w:val="18"/>
        </w:rPr>
        <w:t xml:space="preserve"> </w:t>
      </w:r>
      <w:r>
        <w:rPr>
          <w:sz w:val="18"/>
        </w:rPr>
        <w:t>erfolgreichen</w:t>
      </w:r>
      <w:r>
        <w:rPr>
          <w:spacing w:val="10"/>
          <w:sz w:val="18"/>
        </w:rPr>
        <w:t xml:space="preserve"> </w:t>
      </w:r>
      <w:r>
        <w:rPr>
          <w:sz w:val="18"/>
        </w:rPr>
        <w:t>Registrierung</w:t>
      </w:r>
      <w:r>
        <w:rPr>
          <w:spacing w:val="10"/>
          <w:sz w:val="18"/>
        </w:rPr>
        <w:t xml:space="preserve"> </w:t>
      </w:r>
      <w:r>
        <w:rPr>
          <w:sz w:val="18"/>
        </w:rPr>
        <w:t>im</w:t>
      </w:r>
      <w:r>
        <w:rPr>
          <w:spacing w:val="11"/>
          <w:sz w:val="18"/>
        </w:rPr>
        <w:t xml:space="preserve"> </w:t>
      </w:r>
      <w:r>
        <w:rPr>
          <w:sz w:val="18"/>
        </w:rPr>
        <w:t>Kundenportal</w:t>
      </w:r>
      <w:r>
        <w:rPr>
          <w:spacing w:val="10"/>
          <w:sz w:val="18"/>
        </w:rPr>
        <w:t xml:space="preserve"> </w:t>
      </w:r>
      <w:r>
        <w:rPr>
          <w:sz w:val="18"/>
        </w:rPr>
        <w:t>der</w:t>
      </w:r>
      <w:r>
        <w:rPr>
          <w:spacing w:val="9"/>
          <w:sz w:val="18"/>
        </w:rPr>
        <w:t xml:space="preserve"> </w:t>
      </w:r>
      <w:r>
        <w:rPr>
          <w:sz w:val="18"/>
        </w:rPr>
        <w:t>SSG</w:t>
      </w:r>
      <w:r>
        <w:rPr>
          <w:spacing w:val="9"/>
          <w:sz w:val="18"/>
        </w:rPr>
        <w:t xml:space="preserve"> </w:t>
      </w:r>
      <w:r>
        <w:rPr>
          <w:sz w:val="18"/>
        </w:rPr>
        <w:t>wird</w:t>
      </w:r>
      <w:r>
        <w:rPr>
          <w:spacing w:val="9"/>
          <w:sz w:val="18"/>
        </w:rPr>
        <w:t xml:space="preserve"> </w:t>
      </w:r>
      <w:r>
        <w:rPr>
          <w:sz w:val="18"/>
        </w:rPr>
        <w:t>dem</w:t>
      </w:r>
      <w:r>
        <w:rPr>
          <w:spacing w:val="11"/>
          <w:sz w:val="18"/>
        </w:rPr>
        <w:t xml:space="preserve"> </w:t>
      </w:r>
      <w:r>
        <w:rPr>
          <w:sz w:val="18"/>
        </w:rPr>
        <w:t>Kunden</w:t>
      </w:r>
      <w:r>
        <w:rPr>
          <w:spacing w:val="8"/>
          <w:sz w:val="18"/>
        </w:rPr>
        <w:t xml:space="preserve"> </w:t>
      </w:r>
      <w:r>
        <w:rPr>
          <w:sz w:val="18"/>
        </w:rPr>
        <w:t>die</w:t>
      </w:r>
      <w:r>
        <w:rPr>
          <w:spacing w:val="10"/>
          <w:sz w:val="18"/>
        </w:rPr>
        <w:t xml:space="preserve"> </w:t>
      </w:r>
      <w:r>
        <w:rPr>
          <w:sz w:val="18"/>
        </w:rPr>
        <w:t>Rechnung</w:t>
      </w:r>
      <w:r>
        <w:rPr>
          <w:spacing w:val="10"/>
          <w:sz w:val="18"/>
        </w:rPr>
        <w:t xml:space="preserve"> </w:t>
      </w:r>
      <w:r>
        <w:rPr>
          <w:sz w:val="18"/>
        </w:rPr>
        <w:t>im</w:t>
      </w:r>
      <w:r w:rsidR="00F43697">
        <w:rPr>
          <w:sz w:val="18"/>
        </w:rPr>
        <w:t xml:space="preserve"> </w:t>
      </w:r>
      <w:r w:rsidR="00F43697" w:rsidRPr="00F43697">
        <w:rPr>
          <w:sz w:val="18"/>
        </w:rPr>
        <w:t>K</w:t>
      </w:r>
      <w:r w:rsidRPr="00F43697">
        <w:rPr>
          <w:sz w:val="18"/>
        </w:rPr>
        <w:t>undenportal zur Verfügung gestellt. Der Kunde wird über die Bereitstellung der Rechnung per E-Mail informiert.</w:t>
      </w:r>
    </w:p>
    <w:p w14:paraId="60CAE268" w14:textId="77777777" w:rsidR="002D3B62" w:rsidRDefault="002D3B62">
      <w:pPr>
        <w:pStyle w:val="Textkrper"/>
        <w:ind w:firstLine="0"/>
        <w:rPr>
          <w:sz w:val="16"/>
        </w:rPr>
      </w:pPr>
    </w:p>
    <w:p w14:paraId="625CA258" w14:textId="77777777" w:rsidR="002D3B62" w:rsidRDefault="006E43BD">
      <w:pPr>
        <w:pStyle w:val="berschrift1"/>
        <w:numPr>
          <w:ilvl w:val="0"/>
          <w:numId w:val="1"/>
        </w:numPr>
        <w:tabs>
          <w:tab w:val="left" w:pos="467"/>
          <w:tab w:val="left" w:pos="468"/>
        </w:tabs>
        <w:ind w:hanging="360"/>
      </w:pPr>
      <w:r>
        <w:t>Sonstiges</w:t>
      </w:r>
    </w:p>
    <w:p w14:paraId="16CCFFC2" w14:textId="77777777" w:rsidR="002D3B62" w:rsidRDefault="002D3B62">
      <w:pPr>
        <w:pStyle w:val="Textkrper"/>
        <w:ind w:firstLine="0"/>
        <w:rPr>
          <w:b/>
          <w:sz w:val="16"/>
        </w:rPr>
      </w:pPr>
    </w:p>
    <w:p w14:paraId="517C7DA2" w14:textId="77777777" w:rsidR="002D3B62" w:rsidRDefault="006E43BD">
      <w:pPr>
        <w:pStyle w:val="Listenabsatz"/>
        <w:numPr>
          <w:ilvl w:val="1"/>
          <w:numId w:val="1"/>
        </w:numPr>
        <w:tabs>
          <w:tab w:val="left" w:pos="468"/>
        </w:tabs>
        <w:spacing w:line="207" w:lineRule="exact"/>
        <w:ind w:left="468" w:hanging="360"/>
        <w:rPr>
          <w:sz w:val="18"/>
        </w:rPr>
      </w:pPr>
      <w:r>
        <w:rPr>
          <w:sz w:val="18"/>
        </w:rPr>
        <w:t>Diese Zusatzbestimmungen gelten zuzüglich der AGB der Stadtwerke Strausberg</w:t>
      </w:r>
      <w:r>
        <w:rPr>
          <w:spacing w:val="-10"/>
          <w:sz w:val="18"/>
        </w:rPr>
        <w:t xml:space="preserve"> </w:t>
      </w:r>
      <w:r>
        <w:rPr>
          <w:sz w:val="18"/>
        </w:rPr>
        <w:t>GmbH.</w:t>
      </w:r>
    </w:p>
    <w:p w14:paraId="2FEC869F" w14:textId="04881B87" w:rsidR="002D3B62" w:rsidRDefault="006E43BD">
      <w:pPr>
        <w:pStyle w:val="Listenabsatz"/>
        <w:numPr>
          <w:ilvl w:val="1"/>
          <w:numId w:val="1"/>
        </w:numPr>
        <w:tabs>
          <w:tab w:val="left" w:pos="469"/>
        </w:tabs>
        <w:spacing w:line="206" w:lineRule="exact"/>
        <w:ind w:left="468" w:hanging="361"/>
        <w:rPr>
          <w:sz w:val="18"/>
        </w:rPr>
      </w:pPr>
      <w:r>
        <w:rPr>
          <w:sz w:val="18"/>
        </w:rPr>
        <w:t>D</w:t>
      </w:r>
      <w:r w:rsidR="00143BDA">
        <w:rPr>
          <w:sz w:val="18"/>
        </w:rPr>
        <w:t>ie</w:t>
      </w:r>
      <w:r>
        <w:rPr>
          <w:sz w:val="18"/>
        </w:rPr>
        <w:t xml:space="preserve"> Produkt</w:t>
      </w:r>
      <w:r w:rsidR="00143BDA">
        <w:rPr>
          <w:sz w:val="18"/>
        </w:rPr>
        <w:t>e</w:t>
      </w:r>
      <w:r>
        <w:rPr>
          <w:sz w:val="18"/>
        </w:rPr>
        <w:t xml:space="preserve"> </w:t>
      </w:r>
      <w:r w:rsidR="00143BDA">
        <w:rPr>
          <w:b/>
          <w:i/>
          <w:color w:val="006FC0"/>
          <w:sz w:val="18"/>
        </w:rPr>
        <w:t>„</w:t>
      </w:r>
      <w:r w:rsidR="00143BDA" w:rsidRPr="00A17253">
        <w:rPr>
          <w:b/>
          <w:i/>
          <w:color w:val="006FC0"/>
          <w:sz w:val="18"/>
        </w:rPr>
        <w:t>Unser Strausberger Modul 2</w:t>
      </w:r>
      <w:r w:rsidR="00143BDA">
        <w:rPr>
          <w:b/>
          <w:i/>
          <w:color w:val="006FC0"/>
          <w:sz w:val="18"/>
        </w:rPr>
        <w:t xml:space="preserve">“, „Unser Märkischer Landstrom Modul 2“ und „Unser Berlinstrom Modul 2“ </w:t>
      </w:r>
      <w:r w:rsidR="00143BDA">
        <w:rPr>
          <w:sz w:val="18"/>
        </w:rPr>
        <w:t>sind</w:t>
      </w:r>
      <w:r>
        <w:rPr>
          <w:sz w:val="18"/>
        </w:rPr>
        <w:t xml:space="preserve"> nur für Kunden mit </w:t>
      </w:r>
      <w:r w:rsidR="00F43697">
        <w:rPr>
          <w:sz w:val="18"/>
        </w:rPr>
        <w:t>intelligentem Messsystem (iMSys)</w:t>
      </w:r>
      <w:r>
        <w:rPr>
          <w:spacing w:val="-27"/>
          <w:sz w:val="18"/>
        </w:rPr>
        <w:t xml:space="preserve"> </w:t>
      </w:r>
      <w:r>
        <w:rPr>
          <w:sz w:val="18"/>
        </w:rPr>
        <w:t>verfügbar.</w:t>
      </w:r>
    </w:p>
    <w:p w14:paraId="1FF54247" w14:textId="77777777" w:rsidR="002D3B62" w:rsidRDefault="006E43BD">
      <w:pPr>
        <w:pStyle w:val="Listenabsatz"/>
        <w:numPr>
          <w:ilvl w:val="1"/>
          <w:numId w:val="1"/>
        </w:numPr>
        <w:tabs>
          <w:tab w:val="left" w:pos="469"/>
        </w:tabs>
        <w:ind w:left="468" w:right="102" w:hanging="360"/>
        <w:rPr>
          <w:sz w:val="18"/>
        </w:rPr>
      </w:pPr>
      <w:r>
        <w:rPr>
          <w:sz w:val="18"/>
        </w:rPr>
        <w:t>Unsere aktuellen Preise sowie Informationen über die von der SSG angebotenen Dienstleistungen finden Sie im Internet unter</w:t>
      </w:r>
      <w:r>
        <w:rPr>
          <w:spacing w:val="-3"/>
          <w:sz w:val="18"/>
        </w:rPr>
        <w:t xml:space="preserve"> </w:t>
      </w:r>
      <w:r>
        <w:rPr>
          <w:sz w:val="18"/>
        </w:rPr>
        <w:t>ssg-strausberg.de.</w:t>
      </w:r>
    </w:p>
    <w:p w14:paraId="1EFC6055" w14:textId="77777777" w:rsidR="002D3B62" w:rsidRDefault="006E43BD">
      <w:pPr>
        <w:pStyle w:val="Listenabsatz"/>
        <w:numPr>
          <w:ilvl w:val="1"/>
          <w:numId w:val="1"/>
        </w:numPr>
        <w:tabs>
          <w:tab w:val="left" w:pos="469"/>
        </w:tabs>
        <w:spacing w:before="1"/>
        <w:ind w:left="468" w:right="100" w:hanging="360"/>
        <w:rPr>
          <w:sz w:val="18"/>
        </w:rPr>
      </w:pPr>
      <w:r>
        <w:rPr>
          <w:sz w:val="18"/>
        </w:rPr>
        <w:t>Der Kunde ist damit einverstanden, dass die SSG die zur Bonitätsprüfung erforderlichen Daten an Wirtschaftsauskünfte (z.B. Creditreform) mitteilt und Auskünfte</w:t>
      </w:r>
      <w:r>
        <w:rPr>
          <w:spacing w:val="-2"/>
          <w:sz w:val="18"/>
        </w:rPr>
        <w:t xml:space="preserve"> </w:t>
      </w:r>
      <w:r>
        <w:rPr>
          <w:sz w:val="18"/>
        </w:rPr>
        <w:t>einholt.</w:t>
      </w:r>
    </w:p>
    <w:p w14:paraId="53085BBE" w14:textId="77777777" w:rsidR="002D3B62" w:rsidRDefault="002D3B62">
      <w:pPr>
        <w:pStyle w:val="Textkrper"/>
        <w:ind w:firstLine="0"/>
        <w:rPr>
          <w:sz w:val="20"/>
        </w:rPr>
      </w:pPr>
    </w:p>
    <w:p w14:paraId="02B47114" w14:textId="77777777" w:rsidR="002D3B62" w:rsidRDefault="002D3B62">
      <w:pPr>
        <w:pStyle w:val="Textkrper"/>
        <w:ind w:firstLine="0"/>
        <w:rPr>
          <w:sz w:val="20"/>
        </w:rPr>
      </w:pPr>
    </w:p>
    <w:p w14:paraId="5F62B2B4" w14:textId="77777777" w:rsidR="002D3B62" w:rsidRDefault="006E43BD">
      <w:pPr>
        <w:pStyle w:val="Textkrper"/>
        <w:tabs>
          <w:tab w:val="left" w:pos="6321"/>
        </w:tabs>
        <w:spacing w:before="161"/>
        <w:ind w:left="468" w:firstLine="0"/>
      </w:pPr>
      <w:r>
        <w:t>Strausberg am</w:t>
      </w:r>
      <w:r>
        <w:rPr>
          <w:spacing w:val="-7"/>
        </w:rPr>
        <w:t xml:space="preserve"> </w:t>
      </w:r>
      <w:r>
        <w:t>01.Januar</w:t>
      </w:r>
      <w:r>
        <w:rPr>
          <w:spacing w:val="-3"/>
        </w:rPr>
        <w:t xml:space="preserve"> </w:t>
      </w:r>
      <w:r>
        <w:t>2026</w:t>
      </w:r>
      <w:r>
        <w:tab/>
        <w:t>Stadtwerke Strausberg GmbH</w:t>
      </w:r>
    </w:p>
    <w:sectPr w:rsidR="002D3B62">
      <w:headerReference w:type="default" r:id="rId9"/>
      <w:footerReference w:type="default" r:id="rId10"/>
      <w:pgSz w:w="11910" w:h="16840"/>
      <w:pgMar w:top="1880" w:right="1140" w:bottom="980" w:left="1500" w:header="803" w:footer="7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8FEFB" w14:textId="77777777" w:rsidR="00FC0245" w:rsidRDefault="00FC0245">
      <w:r>
        <w:separator/>
      </w:r>
    </w:p>
  </w:endnote>
  <w:endnote w:type="continuationSeparator" w:id="0">
    <w:p w14:paraId="0D3F2BDD" w14:textId="77777777" w:rsidR="00FC0245" w:rsidRDefault="00FC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jdhani Bold">
    <w:altName w:val="Rajdhani Bold"/>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6DAD" w14:textId="77777777" w:rsidR="002D3B62" w:rsidRDefault="00FC0245">
    <w:pPr>
      <w:pStyle w:val="Textkrper"/>
      <w:spacing w:line="14" w:lineRule="auto"/>
      <w:ind w:firstLine="0"/>
      <w:rPr>
        <w:sz w:val="20"/>
      </w:rPr>
    </w:pPr>
    <w:r>
      <w:pict w14:anchorId="20D2544E">
        <v:line id="_x0000_s1027" style="position:absolute;z-index:-251755520;mso-position-horizontal-relative:page;mso-position-vertical-relative:page" from="62.4pt,788.5pt" to="537.35pt,788.5pt" strokeweight=".48pt">
          <w10:wrap anchorx="page" anchory="page"/>
        </v:line>
      </w:pict>
    </w:r>
    <w:r>
      <w:pict w14:anchorId="3FF8FB98">
        <v:shapetype id="_x0000_t202" coordsize="21600,21600" o:spt="202" path="m,l,21600r21600,l21600,xe">
          <v:stroke joinstyle="miter"/>
          <v:path gradientshapeok="t" o:connecttype="rect"/>
        </v:shapetype>
        <v:shape id="_x0000_s1026" type="#_x0000_t202" style="position:absolute;margin-left:67.05pt;margin-top:791.55pt;width:375.1pt;height:24.45pt;z-index:-251754496;mso-position-horizontal-relative:page;mso-position-vertical-relative:page" filled="f" stroked="f">
          <v:textbox inset="0,0,0,0">
            <w:txbxContent>
              <w:p w14:paraId="10345253" w14:textId="41655150" w:rsidR="002D3B62" w:rsidRPr="00A17253" w:rsidRDefault="006E43BD">
                <w:pPr>
                  <w:spacing w:before="19"/>
                  <w:ind w:left="57"/>
                  <w:rPr>
                    <w:rFonts w:ascii="Rajdhani Bold" w:hAnsi="Rajdhani Bold"/>
                    <w:b/>
                    <w:sz w:val="16"/>
                  </w:rPr>
                </w:pPr>
                <w:r>
                  <w:rPr>
                    <w:rFonts w:ascii="Rajdhani Bold" w:hAnsi="Rajdhani Bold"/>
                    <w:b/>
                    <w:sz w:val="16"/>
                  </w:rPr>
                  <w:t>Zusatzbestimmungen</w:t>
                </w:r>
                <w:r>
                  <w:rPr>
                    <w:rFonts w:ascii="Rajdhani Bold" w:hAnsi="Rajdhani Bold"/>
                    <w:b/>
                    <w:spacing w:val="-14"/>
                    <w:sz w:val="16"/>
                  </w:rPr>
                  <w:t xml:space="preserve"> </w:t>
                </w:r>
                <w:r>
                  <w:rPr>
                    <w:rFonts w:ascii="Rajdhani Bold" w:hAnsi="Rajdhani Bold"/>
                    <w:b/>
                    <w:sz w:val="16"/>
                  </w:rPr>
                  <w:t>zu</w:t>
                </w:r>
                <w:r>
                  <w:rPr>
                    <w:rFonts w:ascii="Rajdhani Bold" w:hAnsi="Rajdhani Bold"/>
                    <w:b/>
                    <w:spacing w:val="-13"/>
                    <w:sz w:val="16"/>
                  </w:rPr>
                  <w:t xml:space="preserve"> </w:t>
                </w:r>
                <w:r>
                  <w:rPr>
                    <w:rFonts w:ascii="Rajdhani Bold" w:hAnsi="Rajdhani Bold"/>
                    <w:b/>
                    <w:sz w:val="16"/>
                  </w:rPr>
                  <w:t>den</w:t>
                </w:r>
                <w:r>
                  <w:rPr>
                    <w:rFonts w:ascii="Rajdhani Bold" w:hAnsi="Rajdhani Bold"/>
                    <w:b/>
                    <w:spacing w:val="-14"/>
                    <w:sz w:val="16"/>
                  </w:rPr>
                  <w:t xml:space="preserve"> </w:t>
                </w:r>
                <w:r>
                  <w:rPr>
                    <w:rFonts w:ascii="Rajdhani Bold" w:hAnsi="Rajdhani Bold"/>
                    <w:b/>
                    <w:sz w:val="16"/>
                  </w:rPr>
                  <w:t>Allgemeinen</w:t>
                </w:r>
                <w:r>
                  <w:rPr>
                    <w:rFonts w:ascii="Rajdhani Bold" w:hAnsi="Rajdhani Bold"/>
                    <w:b/>
                    <w:spacing w:val="-13"/>
                    <w:sz w:val="16"/>
                  </w:rPr>
                  <w:t xml:space="preserve"> </w:t>
                </w:r>
                <w:r>
                  <w:rPr>
                    <w:rFonts w:ascii="Rajdhani Bold" w:hAnsi="Rajdhani Bold"/>
                    <w:b/>
                    <w:sz w:val="16"/>
                  </w:rPr>
                  <w:t>Geschäftsbedingungen</w:t>
                </w:r>
                <w:r>
                  <w:rPr>
                    <w:rFonts w:ascii="Rajdhani Bold" w:hAnsi="Rajdhani Bold"/>
                    <w:b/>
                    <w:spacing w:val="-14"/>
                    <w:sz w:val="16"/>
                  </w:rPr>
                  <w:t xml:space="preserve"> </w:t>
                </w:r>
                <w:r>
                  <w:rPr>
                    <w:rFonts w:ascii="Rajdhani Bold" w:hAnsi="Rajdhani Bold"/>
                    <w:b/>
                    <w:sz w:val="16"/>
                  </w:rPr>
                  <w:t>für</w:t>
                </w:r>
                <w:r>
                  <w:rPr>
                    <w:rFonts w:ascii="Rajdhani Bold" w:hAnsi="Rajdhani Bold"/>
                    <w:b/>
                    <w:spacing w:val="-13"/>
                    <w:sz w:val="16"/>
                  </w:rPr>
                  <w:t xml:space="preserve"> </w:t>
                </w:r>
                <w:r>
                  <w:rPr>
                    <w:rFonts w:ascii="Rajdhani Bold" w:hAnsi="Rajdhani Bold"/>
                    <w:b/>
                    <w:sz w:val="16"/>
                  </w:rPr>
                  <w:t>Sondervereinbarungen</w:t>
                </w:r>
                <w:r w:rsidR="00A17253" w:rsidRPr="00A17253">
                  <w:rPr>
                    <w:b/>
                    <w:i/>
                    <w:color w:val="006FC0"/>
                    <w:sz w:val="18"/>
                  </w:rPr>
                  <w:t xml:space="preserve"> </w:t>
                </w:r>
                <w:r w:rsidR="00A17253">
                  <w:rPr>
                    <w:rFonts w:ascii="Rajdhani Bold" w:hAnsi="Rajdhani Bold"/>
                    <w:b/>
                    <w:sz w:val="16"/>
                  </w:rPr>
                  <w:t xml:space="preserve">Modul </w:t>
                </w:r>
                <w:r w:rsidR="00A17253" w:rsidRPr="00A17253">
                  <w:rPr>
                    <w:rFonts w:ascii="Rajdhani Bold" w:hAnsi="Rajdhani Bold"/>
                    <w:b/>
                    <w:sz w:val="16"/>
                  </w:rPr>
                  <w:t>2</w:t>
                </w:r>
              </w:p>
              <w:p w14:paraId="4246F831" w14:textId="77777777" w:rsidR="002D3B62" w:rsidRDefault="006E43BD">
                <w:pPr>
                  <w:spacing w:before="28"/>
                  <w:ind w:left="20"/>
                  <w:rPr>
                    <w:rFonts w:ascii="Rajdhani Bold"/>
                    <w:b/>
                    <w:sz w:val="16"/>
                  </w:rPr>
                </w:pPr>
                <w:r>
                  <w:rPr>
                    <w:rFonts w:ascii="Rajdhani Bold"/>
                    <w:b/>
                    <w:sz w:val="16"/>
                  </w:rPr>
                  <w:t>Stand: 01. Januar 2026</w:t>
                </w:r>
              </w:p>
            </w:txbxContent>
          </v:textbox>
          <w10:wrap anchorx="page" anchory="page"/>
        </v:shape>
      </w:pict>
    </w:r>
    <w:r>
      <w:pict w14:anchorId="4DD8C617">
        <v:shape id="_x0000_s1025" type="#_x0000_t202" style="position:absolute;margin-left:474.85pt;margin-top:803.25pt;width:26.2pt;height:13.4pt;z-index:-251753472;mso-position-horizontal-relative:page;mso-position-vertical-relative:page" filled="f" stroked="f">
          <v:textbox inset="0,0,0,0">
            <w:txbxContent>
              <w:p w14:paraId="69DC4FDE" w14:textId="77777777" w:rsidR="002D3B62" w:rsidRDefault="006E43BD">
                <w:pPr>
                  <w:spacing w:before="20"/>
                  <w:ind w:left="20"/>
                  <w:rPr>
                    <w:rFonts w:ascii="Rajdhani Bold"/>
                    <w:b/>
                    <w:sz w:val="16"/>
                  </w:rPr>
                </w:pPr>
                <w:r>
                  <w:rPr>
                    <w:rFonts w:ascii="Rajdhani Bold"/>
                    <w:b/>
                    <w:sz w:val="16"/>
                  </w:rPr>
                  <w:t xml:space="preserve">Seite </w:t>
                </w:r>
                <w:r>
                  <w:fldChar w:fldCharType="begin"/>
                </w:r>
                <w:r>
                  <w:rPr>
                    <w:rFonts w:ascii="Rajdhani Bold"/>
                    <w:b/>
                    <w:sz w:val="16"/>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0880E" w14:textId="77777777" w:rsidR="00FC0245" w:rsidRDefault="00FC0245">
      <w:r>
        <w:separator/>
      </w:r>
    </w:p>
  </w:footnote>
  <w:footnote w:type="continuationSeparator" w:id="0">
    <w:p w14:paraId="6592F978" w14:textId="77777777" w:rsidR="00FC0245" w:rsidRDefault="00FC0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D219" w14:textId="77777777" w:rsidR="002D3B62" w:rsidRDefault="006E43BD">
    <w:pPr>
      <w:pStyle w:val="Textkrper"/>
      <w:spacing w:line="14" w:lineRule="auto"/>
      <w:ind w:firstLine="0"/>
      <w:rPr>
        <w:sz w:val="20"/>
      </w:rPr>
    </w:pPr>
    <w:r>
      <w:rPr>
        <w:noProof/>
      </w:rPr>
      <w:drawing>
        <wp:anchor distT="0" distB="0" distL="0" distR="0" simplePos="0" relativeHeight="251558912" behindDoc="1" locked="0" layoutInCell="1" allowOverlap="1" wp14:anchorId="2114C232" wp14:editId="346AB994">
          <wp:simplePos x="0" y="0"/>
          <wp:positionH relativeFrom="page">
            <wp:posOffset>5325111</wp:posOffset>
          </wp:positionH>
          <wp:positionV relativeFrom="page">
            <wp:posOffset>509915</wp:posOffset>
          </wp:positionV>
          <wp:extent cx="1405489" cy="5283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05489" cy="528309"/>
                  </a:xfrm>
                  <a:prstGeom prst="rect">
                    <a:avLst/>
                  </a:prstGeom>
                </pic:spPr>
              </pic:pic>
            </a:graphicData>
          </a:graphic>
        </wp:anchor>
      </w:drawing>
    </w:r>
    <w:r w:rsidR="00FC0245">
      <w:pict w14:anchorId="7D5E2C31">
        <v:line id="_x0000_s1028" style="position:absolute;z-index:-251756544;mso-position-horizontal-relative:page;mso-position-vertical-relative:page" from="61.7pt,94.2pt" to="532.55pt,94.2pt" strokeweight=".16969mm">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76352"/>
    <w:multiLevelType w:val="multilevel"/>
    <w:tmpl w:val="A95231BC"/>
    <w:lvl w:ilvl="0">
      <w:start w:val="1"/>
      <w:numFmt w:val="decimal"/>
      <w:lvlText w:val="%1."/>
      <w:lvlJc w:val="left"/>
      <w:pPr>
        <w:ind w:left="468" w:hanging="363"/>
      </w:pPr>
      <w:rPr>
        <w:rFonts w:ascii="Arial" w:eastAsia="Arial" w:hAnsi="Arial" w:cs="Arial" w:hint="default"/>
        <w:b/>
        <w:bCs/>
        <w:spacing w:val="-2"/>
        <w:w w:val="100"/>
        <w:sz w:val="18"/>
        <w:szCs w:val="18"/>
        <w:lang w:val="de-DE" w:eastAsia="de-DE" w:bidi="de-DE"/>
      </w:rPr>
    </w:lvl>
    <w:lvl w:ilvl="1">
      <w:start w:val="1"/>
      <w:numFmt w:val="decimal"/>
      <w:lvlText w:val="%1.%2."/>
      <w:lvlJc w:val="left"/>
      <w:pPr>
        <w:ind w:left="461" w:hanging="356"/>
      </w:pPr>
      <w:rPr>
        <w:rFonts w:ascii="Arial" w:eastAsia="Arial" w:hAnsi="Arial" w:cs="Arial" w:hint="default"/>
        <w:b w:val="0"/>
        <w:bCs/>
        <w:w w:val="100"/>
        <w:sz w:val="18"/>
        <w:szCs w:val="18"/>
        <w:lang w:val="de-DE" w:eastAsia="de-DE" w:bidi="de-DE"/>
      </w:rPr>
    </w:lvl>
    <w:lvl w:ilvl="2">
      <w:numFmt w:val="bullet"/>
      <w:lvlText w:val="•"/>
      <w:lvlJc w:val="left"/>
      <w:pPr>
        <w:ind w:left="2221" w:hanging="356"/>
      </w:pPr>
      <w:rPr>
        <w:rFonts w:hint="default"/>
        <w:lang w:val="de-DE" w:eastAsia="de-DE" w:bidi="de-DE"/>
      </w:rPr>
    </w:lvl>
    <w:lvl w:ilvl="3">
      <w:numFmt w:val="bullet"/>
      <w:lvlText w:val="•"/>
      <w:lvlJc w:val="left"/>
      <w:pPr>
        <w:ind w:left="3101" w:hanging="356"/>
      </w:pPr>
      <w:rPr>
        <w:rFonts w:hint="default"/>
        <w:lang w:val="de-DE" w:eastAsia="de-DE" w:bidi="de-DE"/>
      </w:rPr>
    </w:lvl>
    <w:lvl w:ilvl="4">
      <w:numFmt w:val="bullet"/>
      <w:lvlText w:val="•"/>
      <w:lvlJc w:val="left"/>
      <w:pPr>
        <w:ind w:left="3982" w:hanging="356"/>
      </w:pPr>
      <w:rPr>
        <w:rFonts w:hint="default"/>
        <w:lang w:val="de-DE" w:eastAsia="de-DE" w:bidi="de-DE"/>
      </w:rPr>
    </w:lvl>
    <w:lvl w:ilvl="5">
      <w:numFmt w:val="bullet"/>
      <w:lvlText w:val="•"/>
      <w:lvlJc w:val="left"/>
      <w:pPr>
        <w:ind w:left="4863" w:hanging="356"/>
      </w:pPr>
      <w:rPr>
        <w:rFonts w:hint="default"/>
        <w:lang w:val="de-DE" w:eastAsia="de-DE" w:bidi="de-DE"/>
      </w:rPr>
    </w:lvl>
    <w:lvl w:ilvl="6">
      <w:numFmt w:val="bullet"/>
      <w:lvlText w:val="•"/>
      <w:lvlJc w:val="left"/>
      <w:pPr>
        <w:ind w:left="5743" w:hanging="356"/>
      </w:pPr>
      <w:rPr>
        <w:rFonts w:hint="default"/>
        <w:lang w:val="de-DE" w:eastAsia="de-DE" w:bidi="de-DE"/>
      </w:rPr>
    </w:lvl>
    <w:lvl w:ilvl="7">
      <w:numFmt w:val="bullet"/>
      <w:lvlText w:val="•"/>
      <w:lvlJc w:val="left"/>
      <w:pPr>
        <w:ind w:left="6624" w:hanging="356"/>
      </w:pPr>
      <w:rPr>
        <w:rFonts w:hint="default"/>
        <w:lang w:val="de-DE" w:eastAsia="de-DE" w:bidi="de-DE"/>
      </w:rPr>
    </w:lvl>
    <w:lvl w:ilvl="8">
      <w:numFmt w:val="bullet"/>
      <w:lvlText w:val="•"/>
      <w:lvlJc w:val="left"/>
      <w:pPr>
        <w:ind w:left="7505" w:hanging="356"/>
      </w:pPr>
      <w:rPr>
        <w:rFonts w:hint="default"/>
        <w:lang w:val="de-DE" w:eastAsia="de-DE" w:bidi="de-DE"/>
      </w:rPr>
    </w:lvl>
  </w:abstractNum>
  <w:num w:numId="1" w16cid:durableId="72957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D3B62"/>
    <w:rsid w:val="00143BDA"/>
    <w:rsid w:val="001A080E"/>
    <w:rsid w:val="002D3B62"/>
    <w:rsid w:val="004E3094"/>
    <w:rsid w:val="006E43BD"/>
    <w:rsid w:val="00A17253"/>
    <w:rsid w:val="00B24181"/>
    <w:rsid w:val="00C6753F"/>
    <w:rsid w:val="00F43697"/>
    <w:rsid w:val="00F5262F"/>
    <w:rsid w:val="00FC02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5E2BF"/>
  <w15:docId w15:val="{E73CA312-85FA-4F34-BB84-5B53D9F3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eastAsia="de-DE" w:bidi="de-DE"/>
    </w:rPr>
  </w:style>
  <w:style w:type="paragraph" w:styleId="berschrift1">
    <w:name w:val="heading 1"/>
    <w:basedOn w:val="Standard"/>
    <w:uiPriority w:val="9"/>
    <w:qFormat/>
    <w:pPr>
      <w:ind w:left="468" w:hanging="360"/>
      <w:outlineLvl w:val="0"/>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hanging="360"/>
    </w:pPr>
    <w:rPr>
      <w:sz w:val="18"/>
      <w:szCs w:val="18"/>
    </w:rPr>
  </w:style>
  <w:style w:type="paragraph" w:styleId="Listenabsatz">
    <w:name w:val="List Paragraph"/>
    <w:basedOn w:val="Standard"/>
    <w:uiPriority w:val="1"/>
    <w:qFormat/>
    <w:pPr>
      <w:ind w:left="468" w:hanging="360"/>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A17253"/>
    <w:pPr>
      <w:tabs>
        <w:tab w:val="center" w:pos="4536"/>
        <w:tab w:val="right" w:pos="9072"/>
      </w:tabs>
    </w:pPr>
  </w:style>
  <w:style w:type="character" w:customStyle="1" w:styleId="KopfzeileZchn">
    <w:name w:val="Kopfzeile Zchn"/>
    <w:basedOn w:val="Absatz-Standardschriftart"/>
    <w:link w:val="Kopfzeile"/>
    <w:uiPriority w:val="99"/>
    <w:rsid w:val="00A17253"/>
    <w:rPr>
      <w:rFonts w:ascii="Arial" w:eastAsia="Arial" w:hAnsi="Arial" w:cs="Arial"/>
      <w:lang w:val="de-DE" w:eastAsia="de-DE" w:bidi="de-DE"/>
    </w:rPr>
  </w:style>
  <w:style w:type="paragraph" w:styleId="Fuzeile">
    <w:name w:val="footer"/>
    <w:basedOn w:val="Standard"/>
    <w:link w:val="FuzeileZchn"/>
    <w:uiPriority w:val="99"/>
    <w:unhideWhenUsed/>
    <w:rsid w:val="00A17253"/>
    <w:pPr>
      <w:tabs>
        <w:tab w:val="center" w:pos="4536"/>
        <w:tab w:val="right" w:pos="9072"/>
      </w:tabs>
    </w:pPr>
  </w:style>
  <w:style w:type="character" w:customStyle="1" w:styleId="FuzeileZchn">
    <w:name w:val="Fußzeile Zchn"/>
    <w:basedOn w:val="Absatz-Standardschriftart"/>
    <w:link w:val="Fuzeile"/>
    <w:uiPriority w:val="99"/>
    <w:rsid w:val="00A17253"/>
    <w:rPr>
      <w:rFonts w:ascii="Arial" w:eastAsia="Arial" w:hAnsi="Arial" w:cs="Arial"/>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undenkontakte@ssg-strausberg.de" TargetMode="External"/><Relationship Id="rId3" Type="http://schemas.openxmlformats.org/officeDocument/2006/relationships/settings" Target="settings.xml"/><Relationship Id="rId7" Type="http://schemas.openxmlformats.org/officeDocument/2006/relationships/hyperlink" Target="mailto:kundenkontakte@ssg-strausberg.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4595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Aklhjfkjha</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Aklhjfkjha</dc:title>
  <dc:creator>Alec Völkel</dc:creator>
  <cp:lastModifiedBy>Rick Plauschenat</cp:lastModifiedBy>
  <cp:revision>6</cp:revision>
  <dcterms:created xsi:type="dcterms:W3CDTF">2026-02-05T14:45:00Z</dcterms:created>
  <dcterms:modified xsi:type="dcterms:W3CDTF">2026-07-20T13:02:00Z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Acrobat PDFMaker 17 für Word</vt:lpwstr>
  </property>
  <property fmtid="{D5CDD505-2E9C-101B-9397-08002B2CF9AE}" pid="4" name="LastSaved">
    <vt:filetime>2026-02-05T00:00:00Z</vt:filetime>
  </property>
</Properties>
</file>